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BED24" w14:textId="19C35740" w:rsidR="003032A0" w:rsidRDefault="00654E90" w:rsidP="006B5352">
      <w:r>
        <w:t xml:space="preserve"> </w:t>
      </w:r>
    </w:p>
    <w:p w14:paraId="1C5299C6" w14:textId="77777777" w:rsidR="00957FE4" w:rsidRDefault="00957FE4" w:rsidP="00957FE4">
      <w:pPr>
        <w:jc w:val="center"/>
        <w:rPr>
          <w:rFonts w:ascii="Raleway" w:hAnsi="Raleway"/>
          <w:b/>
          <w:bCs/>
          <w:color w:val="2F3351"/>
          <w:sz w:val="28"/>
          <w:szCs w:val="28"/>
        </w:rPr>
      </w:pPr>
    </w:p>
    <w:p w14:paraId="6344F097" w14:textId="5957E755" w:rsidR="00157BBA" w:rsidRDefault="00157BBA" w:rsidP="00957FE4">
      <w:pPr>
        <w:jc w:val="center"/>
        <w:rPr>
          <w:rFonts w:ascii="Raleway" w:hAnsi="Raleway"/>
          <w:b/>
          <w:bCs/>
          <w:color w:val="2F3351"/>
          <w:sz w:val="28"/>
          <w:szCs w:val="28"/>
        </w:rPr>
      </w:pPr>
      <w:r w:rsidRPr="00B62EF6">
        <w:rPr>
          <w:rFonts w:ascii="Raleway" w:hAnsi="Raleway"/>
          <w:b/>
          <w:bCs/>
          <w:color w:val="2F3351"/>
          <w:sz w:val="28"/>
          <w:szCs w:val="28"/>
        </w:rPr>
        <w:t>PROTECT STATE-BASED REGULATION OF INSURANCE</w:t>
      </w:r>
    </w:p>
    <w:p w14:paraId="22F4053F" w14:textId="77777777" w:rsidR="00957FE4" w:rsidRPr="00D64EAA" w:rsidRDefault="00957FE4" w:rsidP="00957FE4">
      <w:pPr>
        <w:jc w:val="center"/>
        <w:rPr>
          <w:rFonts w:ascii="Raleway" w:hAnsi="Raleway"/>
          <w:b/>
          <w:bCs/>
          <w:color w:val="2F3351"/>
        </w:rPr>
      </w:pPr>
    </w:p>
    <w:p w14:paraId="6D099CA0" w14:textId="692CAC94" w:rsidR="00157BBA" w:rsidRDefault="00157BBA" w:rsidP="00157BBA">
      <w:pPr>
        <w:rPr>
          <w:rFonts w:ascii="Raleway" w:hAnsi="Raleway"/>
          <w:b/>
          <w:bCs/>
          <w:color w:val="288ECA"/>
        </w:rPr>
      </w:pPr>
      <w:r w:rsidRPr="00B62EF6">
        <w:rPr>
          <w:rFonts w:ascii="Raleway" w:hAnsi="Raleway"/>
          <w:b/>
          <w:bCs/>
          <w:color w:val="288ECA"/>
        </w:rPr>
        <w:t>SUMMARY</w:t>
      </w:r>
    </w:p>
    <w:p w14:paraId="52A771D1" w14:textId="77777777" w:rsidR="00D64EAA" w:rsidRPr="00FC299E" w:rsidRDefault="00D64EAA" w:rsidP="00157BBA">
      <w:pPr>
        <w:rPr>
          <w:rFonts w:ascii="Raleway" w:hAnsi="Raleway"/>
          <w:b/>
          <w:bCs/>
          <w:color w:val="288ECA"/>
        </w:rPr>
      </w:pPr>
    </w:p>
    <w:p w14:paraId="1F2F351E" w14:textId="20985F47" w:rsidR="003032A0" w:rsidRPr="00D64EAA" w:rsidRDefault="00157BBA" w:rsidP="00157BBA">
      <w:pPr>
        <w:rPr>
          <w:rFonts w:ascii="Raleway" w:hAnsi="Raleway"/>
          <w:color w:val="auto"/>
        </w:rPr>
      </w:pPr>
      <w:r w:rsidRPr="00D64EAA">
        <w:rPr>
          <w:rFonts w:ascii="Raleway" w:hAnsi="Raleway"/>
          <w:color w:val="auto"/>
        </w:rPr>
        <w:t>To provide the most accurate and fair pricing to our customers, insurers use a variety of rating factors that have been proven to accurately predict the risk of loss to policyholders and are comprehensively regulated by the states. Any undue restriction on the use of these regulated factors by Congress would preempt state regulation and have a major negative impact on insurance markets.</w:t>
      </w:r>
    </w:p>
    <w:p w14:paraId="4FAFA9F5" w14:textId="77777777" w:rsidR="00157BBA" w:rsidRPr="00CE7E6B" w:rsidRDefault="00157BBA" w:rsidP="00157BBA">
      <w:pPr>
        <w:rPr>
          <w:rFonts w:ascii="Raleway" w:hAnsi="Raleway"/>
        </w:rPr>
      </w:pPr>
    </w:p>
    <w:p w14:paraId="58A7616A" w14:textId="09FA3F25" w:rsidR="00DB1882" w:rsidRDefault="00DB1882" w:rsidP="00157BBA">
      <w:pPr>
        <w:rPr>
          <w:rFonts w:ascii="Raleway" w:hAnsi="Raleway"/>
          <w:b/>
          <w:bCs/>
          <w:color w:val="288ECA"/>
        </w:rPr>
      </w:pPr>
      <w:r w:rsidRPr="00B62EF6">
        <w:rPr>
          <w:rFonts w:ascii="Raleway" w:hAnsi="Raleway"/>
          <w:b/>
          <w:bCs/>
          <w:color w:val="288ECA"/>
        </w:rPr>
        <w:t>BACKGROUND</w:t>
      </w:r>
    </w:p>
    <w:p w14:paraId="3E7F9D93" w14:textId="77777777" w:rsidR="00D64EAA" w:rsidRPr="00FC299E" w:rsidRDefault="00D64EAA" w:rsidP="00157BBA">
      <w:pPr>
        <w:rPr>
          <w:rFonts w:ascii="Raleway" w:hAnsi="Raleway"/>
          <w:b/>
          <w:bCs/>
          <w:color w:val="288ECA"/>
        </w:rPr>
      </w:pPr>
    </w:p>
    <w:p w14:paraId="09C3DA1A" w14:textId="0E64A49A" w:rsidR="00DB1882" w:rsidRPr="00D64EAA" w:rsidRDefault="00DB1882" w:rsidP="00DB1882">
      <w:pPr>
        <w:rPr>
          <w:rFonts w:ascii="Raleway" w:hAnsi="Raleway"/>
          <w:color w:val="auto"/>
        </w:rPr>
      </w:pPr>
      <w:r w:rsidRPr="00DB1882">
        <w:rPr>
          <w:rFonts w:ascii="Raleway" w:hAnsi="Raleway"/>
          <w:color w:val="auto"/>
        </w:rPr>
        <w:t>The business of insurance is regulated at the state-level in order to address the unique factors applicable in the individual states and provide the appropriate consumer protection for those factors. This benefit of tailored and localized regulation of insurance was acknowledged by Con</w:t>
      </w:r>
      <w:r w:rsidRPr="00DB1882">
        <w:rPr>
          <w:rFonts w:ascii="Raleway" w:hAnsi="Raleway"/>
          <w:color w:val="auto"/>
        </w:rPr>
        <w:softHyphen/>
        <w:t>gress with the passage of the McCarran-Ferguson Act of 1945, which states that “the continued regulation and taxation by the several States of the business of insurance is in the public interest” and therefore it was enacted that “[n]o Act of Congress shall be construed to invalidate, impair, or supersede any law enacted by any State for the purpose of regulating the business of insurance, or which imposes a fee or tax upon such business, unless such Act specifically relates to the business of insurance[.]”</w:t>
      </w:r>
      <w:r w:rsidR="00B62EF6" w:rsidRPr="00D64EAA">
        <w:rPr>
          <w:rFonts w:ascii="Raleway" w:hAnsi="Raleway"/>
          <w:color w:val="auto"/>
        </w:rPr>
        <w:t xml:space="preserve"> </w:t>
      </w:r>
      <w:r w:rsidRPr="00DB1882">
        <w:rPr>
          <w:rFonts w:ascii="Raleway" w:hAnsi="Raleway"/>
          <w:color w:val="auto"/>
        </w:rPr>
        <w:t xml:space="preserve">The McCarran-Ferguson Act has been reinforced continually since its enactment; consumers are better serviced and protected under a state-based regulatory system. </w:t>
      </w:r>
    </w:p>
    <w:p w14:paraId="6EE1C03F" w14:textId="77777777" w:rsidR="00957FE4" w:rsidRPr="00DB1882" w:rsidRDefault="00957FE4" w:rsidP="00DB1882">
      <w:pPr>
        <w:rPr>
          <w:rFonts w:ascii="Raleway" w:hAnsi="Raleway"/>
          <w:color w:val="auto"/>
        </w:rPr>
      </w:pPr>
    </w:p>
    <w:p w14:paraId="5E661FEC" w14:textId="7C0D06F8" w:rsidR="00DB1882" w:rsidRPr="00D64EAA" w:rsidRDefault="00DB1882" w:rsidP="00DB1882">
      <w:pPr>
        <w:rPr>
          <w:rFonts w:ascii="Raleway" w:hAnsi="Raleway"/>
          <w:color w:val="auto"/>
        </w:rPr>
      </w:pPr>
      <w:r w:rsidRPr="00DB1882">
        <w:rPr>
          <w:rFonts w:ascii="Raleway" w:hAnsi="Raleway"/>
          <w:color w:val="auto"/>
        </w:rPr>
        <w:t xml:space="preserve">One area where we have recently seen efforts to undermine the state-based regulation of the business of insurance is through the introduction of bills that would prohibit, at the federal level, the use of certain actuarially justified rating factors insurers </w:t>
      </w:r>
      <w:proofErr w:type="gramStart"/>
      <w:r w:rsidRPr="00DB1882">
        <w:rPr>
          <w:rFonts w:ascii="Raleway" w:hAnsi="Raleway"/>
          <w:color w:val="auto"/>
        </w:rPr>
        <w:t>use</w:t>
      </w:r>
      <w:proofErr w:type="gramEnd"/>
      <w:r w:rsidRPr="00DB1882">
        <w:rPr>
          <w:rFonts w:ascii="Raleway" w:hAnsi="Raleway"/>
          <w:color w:val="auto"/>
        </w:rPr>
        <w:t xml:space="preserve"> to predict risk and set insurance premiums. The foundation of insurance is the transfer of risk from the policyholder to the insurer in exchange for a premium that includes the costs associated with the cost of the risk being transferred. </w:t>
      </w:r>
    </w:p>
    <w:p w14:paraId="39E8BDD5" w14:textId="77777777" w:rsidR="00957FE4" w:rsidRPr="00DB1882" w:rsidRDefault="00957FE4" w:rsidP="00DB1882">
      <w:pPr>
        <w:rPr>
          <w:rFonts w:ascii="Raleway" w:hAnsi="Raleway"/>
          <w:color w:val="auto"/>
        </w:rPr>
      </w:pPr>
    </w:p>
    <w:p w14:paraId="68C0DF85" w14:textId="203EBA73" w:rsidR="005E6512" w:rsidRPr="00D64EAA" w:rsidRDefault="00DB1882" w:rsidP="00DB1882">
      <w:pPr>
        <w:rPr>
          <w:rFonts w:ascii="Raleway" w:hAnsi="Raleway"/>
          <w:color w:val="auto"/>
        </w:rPr>
      </w:pPr>
      <w:r w:rsidRPr="00D64EAA">
        <w:rPr>
          <w:rFonts w:ascii="Raleway" w:hAnsi="Raleway"/>
          <w:color w:val="auto"/>
        </w:rPr>
        <w:t>The states, and the nearly 11,000 regulators and staff that they employ, use their regulatory authority to ensure compliance with applicable risk-based pricing laws; and have a vast range of enforcement tools which assures fairness in insurance and helps assure competitive and solvent insurance markets.</w:t>
      </w:r>
    </w:p>
    <w:p w14:paraId="3CE36777" w14:textId="77777777" w:rsidR="00FC299E" w:rsidRDefault="00FC299E" w:rsidP="00DB1882">
      <w:pPr>
        <w:rPr>
          <w:rFonts w:ascii="Raleway" w:hAnsi="Raleway"/>
        </w:rPr>
      </w:pPr>
    </w:p>
    <w:p w14:paraId="02444F5B" w14:textId="4062EB9D" w:rsidR="005E6512" w:rsidRDefault="005E6512" w:rsidP="00957FE4">
      <w:pPr>
        <w:rPr>
          <w:rFonts w:ascii="Raleway" w:hAnsi="Raleway"/>
          <w:b/>
          <w:bCs/>
          <w:color w:val="288ECA"/>
        </w:rPr>
      </w:pPr>
      <w:r w:rsidRPr="005E6512">
        <w:rPr>
          <w:rFonts w:ascii="Raleway" w:hAnsi="Raleway"/>
          <w:b/>
          <w:bCs/>
          <w:color w:val="288ECA"/>
        </w:rPr>
        <w:t>ABOUT US</w:t>
      </w:r>
    </w:p>
    <w:p w14:paraId="0EA810B1" w14:textId="77777777" w:rsidR="00D64EAA" w:rsidRPr="005E6512" w:rsidRDefault="00D64EAA" w:rsidP="00957FE4">
      <w:pPr>
        <w:rPr>
          <w:rFonts w:ascii="Raleway" w:hAnsi="Raleway"/>
          <w:b/>
          <w:bCs/>
          <w:color w:val="288ECA"/>
        </w:rPr>
      </w:pPr>
    </w:p>
    <w:p w14:paraId="5E01B28C" w14:textId="0649CE5D" w:rsidR="005E6512" w:rsidRPr="00D64EAA" w:rsidRDefault="005E6512" w:rsidP="00DB1882">
      <w:pPr>
        <w:rPr>
          <w:rFonts w:ascii="Raleway" w:hAnsi="Raleway"/>
          <w:color w:val="auto"/>
          <w:sz w:val="32"/>
          <w:szCs w:val="32"/>
        </w:rPr>
      </w:pPr>
      <w:r w:rsidRPr="005E6512">
        <w:rPr>
          <w:rFonts w:ascii="Raleway" w:hAnsi="Raleway"/>
          <w:color w:val="auto"/>
        </w:rPr>
        <w:t>For more than 45 years, Fortegra and its subsidiaries have underwritten risk management solutions that help people and businesses succeed in the face of uncertainty. As a global specialty insurer, we offer a diverse set of admitted and surplus insurance products and warranty solutions. Fortegra's A.M. Best Financial Strength Rating of A- (Excellent) is a result of our strict underwriting standards, consistent profitability, and high cash flows.</w:t>
      </w:r>
    </w:p>
    <w:sectPr w:rsidR="005E6512" w:rsidRPr="00D64EAA" w:rsidSect="004B3918">
      <w:headerReference w:type="even" r:id="rId10"/>
      <w:headerReference w:type="default" r:id="rId11"/>
      <w:footerReference w:type="even" r:id="rId12"/>
      <w:footerReference w:type="default" r:id="rId13"/>
      <w:headerReference w:type="first" r:id="rId14"/>
      <w:footerReference w:type="first" r:id="rId15"/>
      <w:pgSz w:w="12240" w:h="15840"/>
      <w:pgMar w:top="1440" w:right="99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C15E1" w14:textId="77777777" w:rsidR="00961581" w:rsidRDefault="00961581" w:rsidP="00EB6C13">
      <w:r>
        <w:separator/>
      </w:r>
    </w:p>
  </w:endnote>
  <w:endnote w:type="continuationSeparator" w:id="0">
    <w:p w14:paraId="20667734" w14:textId="77777777" w:rsidR="00961581" w:rsidRDefault="00961581" w:rsidP="00EB6C13">
      <w:r>
        <w:continuationSeparator/>
      </w:r>
    </w:p>
  </w:endnote>
  <w:endnote w:type="continuationNotice" w:id="1">
    <w:p w14:paraId="60660514" w14:textId="77777777" w:rsidR="00961581" w:rsidRDefault="009615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8711C" w14:textId="77777777" w:rsidR="00145E08" w:rsidRDefault="00145E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84828" w14:textId="3E152A79" w:rsidR="00985038" w:rsidRDefault="00985038">
    <w:pPr>
      <w:pStyle w:val="Footer"/>
      <w:jc w:val="right"/>
    </w:pPr>
  </w:p>
  <w:p w14:paraId="6F04CE04" w14:textId="77777777" w:rsidR="00985038" w:rsidRDefault="009850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A8562" w14:textId="77777777" w:rsidR="00145E08" w:rsidRDefault="00145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F68FB" w14:textId="77777777" w:rsidR="00961581" w:rsidRDefault="00961581" w:rsidP="00EB6C13">
      <w:r>
        <w:separator/>
      </w:r>
    </w:p>
  </w:footnote>
  <w:footnote w:type="continuationSeparator" w:id="0">
    <w:p w14:paraId="5BA1CA80" w14:textId="77777777" w:rsidR="00961581" w:rsidRDefault="00961581" w:rsidP="00EB6C13">
      <w:r>
        <w:continuationSeparator/>
      </w:r>
    </w:p>
  </w:footnote>
  <w:footnote w:type="continuationNotice" w:id="1">
    <w:p w14:paraId="51023E2F" w14:textId="77777777" w:rsidR="00961581" w:rsidRDefault="009615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1681B" w14:textId="77777777" w:rsidR="00145E08" w:rsidRDefault="00145E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9A7CA" w14:textId="6C0D070C" w:rsidR="00EB6C13" w:rsidRDefault="0098410A" w:rsidP="009D61BA">
    <w:pPr>
      <w:pStyle w:val="Header"/>
      <w:tabs>
        <w:tab w:val="clear" w:pos="4680"/>
        <w:tab w:val="clear" w:pos="9360"/>
        <w:tab w:val="left" w:pos="1440"/>
        <w:tab w:val="left" w:pos="1830"/>
      </w:tabs>
      <w:ind w:right="-360"/>
    </w:pPr>
    <w:r>
      <w:rPr>
        <w:noProof/>
      </w:rPr>
      <w:drawing>
        <wp:anchor distT="0" distB="0" distL="114300" distR="114300" simplePos="0" relativeHeight="251658240" behindDoc="1" locked="0" layoutInCell="1" allowOverlap="0" wp14:anchorId="0390ACF1" wp14:editId="0505E120">
          <wp:simplePos x="0" y="0"/>
          <wp:positionH relativeFrom="page">
            <wp:posOffset>19050</wp:posOffset>
          </wp:positionH>
          <wp:positionV relativeFrom="page">
            <wp:posOffset>409576</wp:posOffset>
          </wp:positionV>
          <wp:extent cx="7733665" cy="9239250"/>
          <wp:effectExtent l="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8.5x11_paper_Page_2.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34076" cy="9239741"/>
                  </a:xfrm>
                  <a:prstGeom prst="rect">
                    <a:avLst/>
                  </a:prstGeom>
                </pic:spPr>
              </pic:pic>
            </a:graphicData>
          </a:graphic>
          <wp14:sizeRelH relativeFrom="margin">
            <wp14:pctWidth>0</wp14:pctWidth>
          </wp14:sizeRelH>
          <wp14:sizeRelV relativeFrom="margin">
            <wp14:pctHeight>0</wp14:pctHeight>
          </wp14:sizeRelV>
        </wp:anchor>
      </w:drawing>
    </w:r>
    <w:r w:rsidR="009D61BA">
      <w:tab/>
    </w:r>
    <w:r w:rsidR="009D61B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FB824" w14:textId="77777777" w:rsidR="00145E08" w:rsidRDefault="00145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C2126"/>
    <w:multiLevelType w:val="multilevel"/>
    <w:tmpl w:val="F61E613E"/>
    <w:lvl w:ilvl="0">
      <w:start w:val="1"/>
      <w:numFmt w:val="decimal"/>
      <w:lvlText w:val=""/>
      <w:lvlJc w:val="left"/>
      <w:pPr>
        <w:ind w:left="1720" w:firstLine="0"/>
      </w:pPr>
    </w:lvl>
    <w:lvl w:ilvl="1">
      <w:start w:val="1"/>
      <w:numFmt w:val="decimal"/>
      <w:lvlText w:val="%2."/>
      <w:lvlJc w:val="left"/>
      <w:pPr>
        <w:tabs>
          <w:tab w:val="num" w:pos="346"/>
        </w:tabs>
        <w:ind w:left="346" w:hanging="346"/>
      </w:pPr>
    </w:lvl>
    <w:lvl w:ilvl="2">
      <w:start w:val="1"/>
      <w:numFmt w:val="decimal"/>
      <w:lvlText w:val="%3)"/>
      <w:lvlJc w:val="left"/>
      <w:pPr>
        <w:tabs>
          <w:tab w:val="num" w:pos="692"/>
        </w:tabs>
        <w:ind w:left="692" w:hanging="346"/>
      </w:pPr>
    </w:lvl>
    <w:lvl w:ilvl="3">
      <w:start w:val="1"/>
      <w:numFmt w:val="upperRoman"/>
      <w:lvlText w:val="%4."/>
      <w:lvlJc w:val="right"/>
      <w:pPr>
        <w:tabs>
          <w:tab w:val="num" w:pos="960"/>
        </w:tabs>
        <w:ind w:left="960" w:hanging="173"/>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53B44C2"/>
    <w:multiLevelType w:val="multilevel"/>
    <w:tmpl w:val="F61E613E"/>
    <w:lvl w:ilvl="0">
      <w:start w:val="1"/>
      <w:numFmt w:val="decimal"/>
      <w:lvlText w:val=""/>
      <w:lvlJc w:val="left"/>
      <w:pPr>
        <w:ind w:left="1720" w:firstLine="0"/>
      </w:pPr>
    </w:lvl>
    <w:lvl w:ilvl="1">
      <w:start w:val="1"/>
      <w:numFmt w:val="decimal"/>
      <w:lvlText w:val="%2."/>
      <w:lvlJc w:val="left"/>
      <w:pPr>
        <w:tabs>
          <w:tab w:val="num" w:pos="346"/>
        </w:tabs>
        <w:ind w:left="346" w:hanging="346"/>
      </w:pPr>
    </w:lvl>
    <w:lvl w:ilvl="2">
      <w:start w:val="1"/>
      <w:numFmt w:val="decimal"/>
      <w:lvlText w:val="%3)"/>
      <w:lvlJc w:val="left"/>
      <w:pPr>
        <w:tabs>
          <w:tab w:val="num" w:pos="692"/>
        </w:tabs>
        <w:ind w:left="692" w:hanging="346"/>
      </w:pPr>
    </w:lvl>
    <w:lvl w:ilvl="3">
      <w:start w:val="1"/>
      <w:numFmt w:val="upperRoman"/>
      <w:lvlText w:val="%4."/>
      <w:lvlJc w:val="right"/>
      <w:pPr>
        <w:tabs>
          <w:tab w:val="num" w:pos="960"/>
        </w:tabs>
        <w:ind w:left="960" w:hanging="173"/>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AC13F62"/>
    <w:multiLevelType w:val="hybridMultilevel"/>
    <w:tmpl w:val="8C868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E76562"/>
    <w:multiLevelType w:val="multilevel"/>
    <w:tmpl w:val="F61E613E"/>
    <w:styleLink w:val="NumberedListList"/>
    <w:lvl w:ilvl="0">
      <w:start w:val="1"/>
      <w:numFmt w:val="decimal"/>
      <w:lvlText w:val=""/>
      <w:lvlJc w:val="left"/>
      <w:pPr>
        <w:ind w:left="1720" w:firstLine="0"/>
      </w:pPr>
    </w:lvl>
    <w:lvl w:ilvl="1">
      <w:start w:val="1"/>
      <w:numFmt w:val="decimal"/>
      <w:lvlText w:val="%2."/>
      <w:lvlJc w:val="left"/>
      <w:pPr>
        <w:tabs>
          <w:tab w:val="num" w:pos="346"/>
        </w:tabs>
        <w:ind w:left="346" w:hanging="346"/>
      </w:pPr>
    </w:lvl>
    <w:lvl w:ilvl="2">
      <w:start w:val="1"/>
      <w:numFmt w:val="decimal"/>
      <w:lvlText w:val="%3)"/>
      <w:lvlJc w:val="left"/>
      <w:pPr>
        <w:tabs>
          <w:tab w:val="num" w:pos="692"/>
        </w:tabs>
        <w:ind w:left="692" w:hanging="346"/>
      </w:pPr>
    </w:lvl>
    <w:lvl w:ilvl="3">
      <w:start w:val="1"/>
      <w:numFmt w:val="upperRoman"/>
      <w:lvlText w:val="%4."/>
      <w:lvlJc w:val="right"/>
      <w:pPr>
        <w:tabs>
          <w:tab w:val="num" w:pos="960"/>
        </w:tabs>
        <w:ind w:left="960" w:hanging="173"/>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5017746"/>
    <w:multiLevelType w:val="multilevel"/>
    <w:tmpl w:val="F61E613E"/>
    <w:lvl w:ilvl="0">
      <w:start w:val="1"/>
      <w:numFmt w:val="decimal"/>
      <w:lvlText w:val=""/>
      <w:lvlJc w:val="left"/>
      <w:pPr>
        <w:ind w:left="1720" w:firstLine="0"/>
      </w:pPr>
    </w:lvl>
    <w:lvl w:ilvl="1">
      <w:start w:val="1"/>
      <w:numFmt w:val="decimal"/>
      <w:lvlText w:val="%2."/>
      <w:lvlJc w:val="left"/>
      <w:pPr>
        <w:tabs>
          <w:tab w:val="num" w:pos="346"/>
        </w:tabs>
        <w:ind w:left="346" w:hanging="346"/>
      </w:pPr>
    </w:lvl>
    <w:lvl w:ilvl="2">
      <w:start w:val="1"/>
      <w:numFmt w:val="decimal"/>
      <w:lvlText w:val="%3)"/>
      <w:lvlJc w:val="left"/>
      <w:pPr>
        <w:tabs>
          <w:tab w:val="num" w:pos="692"/>
        </w:tabs>
        <w:ind w:left="692" w:hanging="346"/>
      </w:pPr>
    </w:lvl>
    <w:lvl w:ilvl="3">
      <w:start w:val="1"/>
      <w:numFmt w:val="upperRoman"/>
      <w:lvlText w:val="%4."/>
      <w:lvlJc w:val="right"/>
      <w:pPr>
        <w:tabs>
          <w:tab w:val="num" w:pos="960"/>
        </w:tabs>
        <w:ind w:left="960" w:hanging="173"/>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24524690">
    <w:abstractNumId w:val="3"/>
  </w:num>
  <w:num w:numId="2" w16cid:durableId="1054933079">
    <w:abstractNumId w:val="1"/>
  </w:num>
  <w:num w:numId="3" w16cid:durableId="1080759300">
    <w:abstractNumId w:val="4"/>
  </w:num>
  <w:num w:numId="4" w16cid:durableId="1691106001">
    <w:abstractNumId w:val="0"/>
  </w:num>
  <w:num w:numId="5" w16cid:durableId="1791557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C13"/>
    <w:rsid w:val="00001041"/>
    <w:rsid w:val="00085D3F"/>
    <w:rsid w:val="00096181"/>
    <w:rsid w:val="000A43C3"/>
    <w:rsid w:val="000D10DB"/>
    <w:rsid w:val="00145E08"/>
    <w:rsid w:val="00151064"/>
    <w:rsid w:val="00157BBA"/>
    <w:rsid w:val="001C6B7E"/>
    <w:rsid w:val="002003CB"/>
    <w:rsid w:val="0025063B"/>
    <w:rsid w:val="00294E82"/>
    <w:rsid w:val="003032A0"/>
    <w:rsid w:val="00393FCC"/>
    <w:rsid w:val="003B3340"/>
    <w:rsid w:val="003C62FD"/>
    <w:rsid w:val="003D135E"/>
    <w:rsid w:val="003E0564"/>
    <w:rsid w:val="003E32AB"/>
    <w:rsid w:val="00406351"/>
    <w:rsid w:val="004204D7"/>
    <w:rsid w:val="00453345"/>
    <w:rsid w:val="004B3918"/>
    <w:rsid w:val="004C7BCB"/>
    <w:rsid w:val="004F6B85"/>
    <w:rsid w:val="00501DE7"/>
    <w:rsid w:val="00534C66"/>
    <w:rsid w:val="005C1A39"/>
    <w:rsid w:val="005C753C"/>
    <w:rsid w:val="005E31FA"/>
    <w:rsid w:val="005E6512"/>
    <w:rsid w:val="00600BE2"/>
    <w:rsid w:val="0061276C"/>
    <w:rsid w:val="006238F9"/>
    <w:rsid w:val="00630840"/>
    <w:rsid w:val="00647146"/>
    <w:rsid w:val="00654E90"/>
    <w:rsid w:val="006A201E"/>
    <w:rsid w:val="006B5352"/>
    <w:rsid w:val="006D048B"/>
    <w:rsid w:val="00754273"/>
    <w:rsid w:val="007822D4"/>
    <w:rsid w:val="007957E7"/>
    <w:rsid w:val="007F6103"/>
    <w:rsid w:val="00821F72"/>
    <w:rsid w:val="00843325"/>
    <w:rsid w:val="008452E7"/>
    <w:rsid w:val="00860910"/>
    <w:rsid w:val="00871285"/>
    <w:rsid w:val="008B1450"/>
    <w:rsid w:val="008B21C6"/>
    <w:rsid w:val="008F2880"/>
    <w:rsid w:val="00912CEB"/>
    <w:rsid w:val="00957FE4"/>
    <w:rsid w:val="00961581"/>
    <w:rsid w:val="00983C52"/>
    <w:rsid w:val="0098410A"/>
    <w:rsid w:val="00985038"/>
    <w:rsid w:val="00991CC6"/>
    <w:rsid w:val="009B28CE"/>
    <w:rsid w:val="009B3FEE"/>
    <w:rsid w:val="009D61BA"/>
    <w:rsid w:val="009D6C5E"/>
    <w:rsid w:val="009F4675"/>
    <w:rsid w:val="00A20093"/>
    <w:rsid w:val="00A5265E"/>
    <w:rsid w:val="00AA4DFD"/>
    <w:rsid w:val="00AD1DA4"/>
    <w:rsid w:val="00AF08E5"/>
    <w:rsid w:val="00B17AEE"/>
    <w:rsid w:val="00B52068"/>
    <w:rsid w:val="00B62EF6"/>
    <w:rsid w:val="00B707D1"/>
    <w:rsid w:val="00C20AFB"/>
    <w:rsid w:val="00C376CC"/>
    <w:rsid w:val="00CA2388"/>
    <w:rsid w:val="00CE7E6B"/>
    <w:rsid w:val="00D17115"/>
    <w:rsid w:val="00D33032"/>
    <w:rsid w:val="00D64EAA"/>
    <w:rsid w:val="00D77EF0"/>
    <w:rsid w:val="00D967F9"/>
    <w:rsid w:val="00DB1882"/>
    <w:rsid w:val="00DD4E32"/>
    <w:rsid w:val="00E31948"/>
    <w:rsid w:val="00E6108B"/>
    <w:rsid w:val="00E835A5"/>
    <w:rsid w:val="00EB6C13"/>
    <w:rsid w:val="00F546FC"/>
    <w:rsid w:val="00FC299E"/>
    <w:rsid w:val="1DA48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18877"/>
  <w15:chartTrackingRefBased/>
  <w15:docId w15:val="{2F1F5F74-617F-43D7-9E58-F52DAC808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068"/>
    <w:pPr>
      <w:spacing w:after="0" w:line="240" w:lineRule="auto"/>
    </w:pPr>
    <w:rPr>
      <w:rFonts w:ascii="Times New Roman" w:eastAsia="Times New Roman" w:hAnsi="Times New Roman" w:cs="Times New Roman"/>
      <w:color w:val="000000"/>
      <w:sz w:val="24"/>
      <w:szCs w:val="24"/>
    </w:rPr>
  </w:style>
  <w:style w:type="paragraph" w:styleId="Heading4">
    <w:name w:val="heading 4"/>
    <w:aliases w:val="Map Title"/>
    <w:basedOn w:val="Normal"/>
    <w:next w:val="Normal"/>
    <w:link w:val="Heading4Char"/>
    <w:qFormat/>
    <w:rsid w:val="00B52068"/>
    <w:pPr>
      <w:spacing w:after="240"/>
      <w:outlineLvl w:val="3"/>
    </w:pPr>
    <w:rPr>
      <w:rFonts w:ascii="Arial" w:hAnsi="Arial" w:cs="Arial"/>
      <w:b/>
      <w:sz w:val="32"/>
      <w:szCs w:val="20"/>
    </w:rPr>
  </w:style>
  <w:style w:type="paragraph" w:styleId="Heading5">
    <w:name w:val="heading 5"/>
    <w:aliases w:val="Block Label"/>
    <w:basedOn w:val="Normal"/>
    <w:link w:val="Heading5Char"/>
    <w:qFormat/>
    <w:rsid w:val="00B52068"/>
    <w:pPr>
      <w:outlineLvl w:val="4"/>
    </w:pPr>
    <w:rPr>
      <w:b/>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C13"/>
    <w:pPr>
      <w:tabs>
        <w:tab w:val="center" w:pos="4680"/>
        <w:tab w:val="right" w:pos="9360"/>
      </w:tabs>
    </w:pPr>
  </w:style>
  <w:style w:type="character" w:customStyle="1" w:styleId="HeaderChar">
    <w:name w:val="Header Char"/>
    <w:basedOn w:val="DefaultParagraphFont"/>
    <w:link w:val="Header"/>
    <w:uiPriority w:val="99"/>
    <w:rsid w:val="00EB6C13"/>
  </w:style>
  <w:style w:type="paragraph" w:styleId="Footer">
    <w:name w:val="footer"/>
    <w:basedOn w:val="Normal"/>
    <w:link w:val="FooterChar"/>
    <w:uiPriority w:val="99"/>
    <w:unhideWhenUsed/>
    <w:rsid w:val="00EB6C13"/>
    <w:pPr>
      <w:tabs>
        <w:tab w:val="center" w:pos="4680"/>
        <w:tab w:val="right" w:pos="9360"/>
      </w:tabs>
    </w:pPr>
  </w:style>
  <w:style w:type="character" w:customStyle="1" w:styleId="FooterChar">
    <w:name w:val="Footer Char"/>
    <w:basedOn w:val="DefaultParagraphFont"/>
    <w:link w:val="Footer"/>
    <w:uiPriority w:val="99"/>
    <w:rsid w:val="00EB6C13"/>
  </w:style>
  <w:style w:type="character" w:styleId="PlaceholderText">
    <w:name w:val="Placeholder Text"/>
    <w:basedOn w:val="DefaultParagraphFont"/>
    <w:uiPriority w:val="99"/>
    <w:semiHidden/>
    <w:rsid w:val="00985038"/>
    <w:rPr>
      <w:color w:val="808080"/>
    </w:rPr>
  </w:style>
  <w:style w:type="paragraph" w:styleId="BalloonText">
    <w:name w:val="Balloon Text"/>
    <w:basedOn w:val="Normal"/>
    <w:link w:val="BalloonTextChar"/>
    <w:uiPriority w:val="99"/>
    <w:semiHidden/>
    <w:unhideWhenUsed/>
    <w:rsid w:val="008B2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1C6"/>
    <w:rPr>
      <w:rFonts w:ascii="Segoe UI" w:hAnsi="Segoe UI" w:cs="Segoe UI"/>
      <w:sz w:val="18"/>
      <w:szCs w:val="18"/>
    </w:rPr>
  </w:style>
  <w:style w:type="character" w:customStyle="1" w:styleId="Heading4Char">
    <w:name w:val="Heading 4 Char"/>
    <w:aliases w:val="Map Title Char"/>
    <w:basedOn w:val="DefaultParagraphFont"/>
    <w:link w:val="Heading4"/>
    <w:rsid w:val="00B52068"/>
    <w:rPr>
      <w:rFonts w:ascii="Arial" w:eastAsia="Times New Roman" w:hAnsi="Arial" w:cs="Arial"/>
      <w:b/>
      <w:color w:val="000000"/>
      <w:sz w:val="32"/>
      <w:szCs w:val="20"/>
    </w:rPr>
  </w:style>
  <w:style w:type="character" w:customStyle="1" w:styleId="Heading5Char">
    <w:name w:val="Heading 5 Char"/>
    <w:aliases w:val="Block Label Char"/>
    <w:basedOn w:val="DefaultParagraphFont"/>
    <w:link w:val="Heading5"/>
    <w:rsid w:val="00B52068"/>
    <w:rPr>
      <w:rFonts w:ascii="Times New Roman" w:eastAsia="Times New Roman" w:hAnsi="Times New Roman" w:cs="Times New Roman"/>
      <w:b/>
      <w:color w:val="000000"/>
      <w:szCs w:val="20"/>
    </w:rPr>
  </w:style>
  <w:style w:type="paragraph" w:customStyle="1" w:styleId="BlockLine">
    <w:name w:val="Block Line"/>
    <w:basedOn w:val="Normal"/>
    <w:next w:val="Normal"/>
    <w:link w:val="BlockLineChar"/>
    <w:rsid w:val="00B52068"/>
    <w:pPr>
      <w:pBdr>
        <w:top w:val="single" w:sz="6" w:space="1" w:color="000000"/>
        <w:between w:val="single" w:sz="6" w:space="1" w:color="auto"/>
      </w:pBdr>
      <w:spacing w:before="240"/>
      <w:ind w:left="1728"/>
    </w:pPr>
    <w:rPr>
      <w:szCs w:val="20"/>
    </w:rPr>
  </w:style>
  <w:style w:type="paragraph" w:styleId="BlockText">
    <w:name w:val="Block Text"/>
    <w:basedOn w:val="Normal"/>
    <w:qFormat/>
    <w:rsid w:val="00B52068"/>
  </w:style>
  <w:style w:type="character" w:customStyle="1" w:styleId="BlockLineChar">
    <w:name w:val="Block Line Char"/>
    <w:basedOn w:val="DefaultParagraphFont"/>
    <w:link w:val="BlockLine"/>
    <w:rsid w:val="00B52068"/>
    <w:rPr>
      <w:rFonts w:ascii="Times New Roman" w:eastAsia="Times New Roman" w:hAnsi="Times New Roman" w:cs="Times New Roman"/>
      <w:color w:val="000000"/>
      <w:sz w:val="24"/>
      <w:szCs w:val="20"/>
    </w:rPr>
  </w:style>
  <w:style w:type="numbering" w:customStyle="1" w:styleId="NumberedListList">
    <w:name w:val="Numbered List List"/>
    <w:basedOn w:val="NoList"/>
    <w:rsid w:val="00B52068"/>
    <w:pPr>
      <w:numPr>
        <w:numId w:val="1"/>
      </w:numPr>
    </w:pPr>
  </w:style>
  <w:style w:type="paragraph" w:customStyle="1" w:styleId="TableHeaderText">
    <w:name w:val="Table Header Text"/>
    <w:basedOn w:val="Normal"/>
    <w:rsid w:val="00D967F9"/>
    <w:pPr>
      <w:jc w:val="center"/>
    </w:pPr>
    <w:rPr>
      <w:b/>
      <w:szCs w:val="20"/>
    </w:rPr>
  </w:style>
  <w:style w:type="paragraph" w:customStyle="1" w:styleId="TableText">
    <w:name w:val="Table Text"/>
    <w:basedOn w:val="Normal"/>
    <w:qFormat/>
    <w:rsid w:val="00D967F9"/>
    <w:rPr>
      <w:szCs w:val="20"/>
    </w:rPr>
  </w:style>
  <w:style w:type="paragraph" w:styleId="ListParagraph">
    <w:name w:val="List Paragraph"/>
    <w:basedOn w:val="Normal"/>
    <w:uiPriority w:val="34"/>
    <w:qFormat/>
    <w:rsid w:val="004C7BCB"/>
    <w:pPr>
      <w:ind w:left="720"/>
      <w:contextualSpacing/>
    </w:pPr>
  </w:style>
  <w:style w:type="character" w:styleId="Hyperlink">
    <w:name w:val="Hyperlink"/>
    <w:basedOn w:val="DefaultParagraphFont"/>
    <w:uiPriority w:val="99"/>
    <w:unhideWhenUsed/>
    <w:rsid w:val="00821F72"/>
    <w:rPr>
      <w:color w:val="0563C1" w:themeColor="hyperlink"/>
      <w:u w:val="single"/>
    </w:rPr>
  </w:style>
  <w:style w:type="character" w:styleId="UnresolvedMention">
    <w:name w:val="Unresolved Mention"/>
    <w:basedOn w:val="DefaultParagraphFont"/>
    <w:uiPriority w:val="99"/>
    <w:semiHidden/>
    <w:unhideWhenUsed/>
    <w:rsid w:val="00821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Time xmlns="e19210ff-2830-40ef-87fd-d90511d174b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2CBA7C646A4D408008645463D34868" ma:contentTypeVersion="17" ma:contentTypeDescription="Create a new document." ma:contentTypeScope="" ma:versionID="bc3075d12df7c9859b5321fe563015be">
  <xsd:schema xmlns:xsd="http://www.w3.org/2001/XMLSchema" xmlns:xs="http://www.w3.org/2001/XMLSchema" xmlns:p="http://schemas.microsoft.com/office/2006/metadata/properties" xmlns:ns1="http://schemas.microsoft.com/sharepoint/v3" xmlns:ns2="e19210ff-2830-40ef-87fd-d90511d174b1" xmlns:ns3="48cfe12c-9b6d-456a-b066-3f75283e7b6a" targetNamespace="http://schemas.microsoft.com/office/2006/metadata/properties" ma:root="true" ma:fieldsID="490e867c8bb737bdcbec1bce4f0d861c" ns1:_="" ns2:_="" ns3:_="">
    <xsd:import namespace="http://schemas.microsoft.com/sharepoint/v3"/>
    <xsd:import namespace="e19210ff-2830-40ef-87fd-d90511d174b1"/>
    <xsd:import namespace="48cfe12c-9b6d-456a-b066-3f75283e7b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DateTim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210ff-2830-40ef-87fd-d90511d174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DateTime" ma:index="21" nillable="true" ma:displayName="Date &amp; Time" ma:format="DateTime" ma:internalName="DateTime">
      <xsd:simpleType>
        <xsd:restriction base="dms:DateTim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cfe12c-9b6d-456a-b066-3f75283e7b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276B92-CC3F-4A98-BE71-FE82E3DBE6BE}">
  <ds:schemaRefs>
    <ds:schemaRef ds:uri="http://schemas.microsoft.com/office/2006/metadata/properties"/>
    <ds:schemaRef ds:uri="http://schemas.microsoft.com/office/infopath/2007/PartnerControls"/>
    <ds:schemaRef ds:uri="http://schemas.microsoft.com/sharepoint/v3"/>
    <ds:schemaRef ds:uri="e19210ff-2830-40ef-87fd-d90511d174b1"/>
  </ds:schemaRefs>
</ds:datastoreItem>
</file>

<file path=customXml/itemProps2.xml><?xml version="1.0" encoding="utf-8"?>
<ds:datastoreItem xmlns:ds="http://schemas.openxmlformats.org/officeDocument/2006/customXml" ds:itemID="{96DC39B8-7420-4292-A6B5-66806954F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9210ff-2830-40ef-87fd-d90511d174b1"/>
    <ds:schemaRef ds:uri="48cfe12c-9b6d-456a-b066-3f75283e7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29864-E0B4-45B5-9C41-BFD8DA81A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DiFilippo</dc:creator>
  <cp:keywords/>
  <dc:description/>
  <cp:lastModifiedBy>Eli Woerpel</cp:lastModifiedBy>
  <cp:revision>6</cp:revision>
  <cp:lastPrinted>2018-02-21T19:33:00Z</cp:lastPrinted>
  <dcterms:created xsi:type="dcterms:W3CDTF">2023-09-27T17:33:00Z</dcterms:created>
  <dcterms:modified xsi:type="dcterms:W3CDTF">2023-09-27T17:36:00Z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0x0101005F2CBA7C646A4D408008645463D34868</vt:lpwstr>
  </property>
</Properties>
</file>